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 of Color on Flavor Perception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Shannon Helgeson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Winona Senior High School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study examined the influence of color on flavor perception…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Method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a;lksdjfa;lsjkdf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 and Procedures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‘a;lsdkf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;alksjdfasdf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Limitations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;alsjdf;alskdf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sdfasdfasdfasdg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asdfasdf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INFLUENCE OF COLOR ON FLAVOR PERCEPTION                                                              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